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5A7D39">
        <w:rPr>
          <w:noProof w:val="0"/>
          <w:sz w:val="24"/>
          <w:szCs w:val="24"/>
          <w:lang w:val="sv-SE"/>
        </w:rPr>
        <w:t>85</w:t>
      </w:r>
      <w:r>
        <w:rPr>
          <w:noProof w:val="0"/>
          <w:sz w:val="24"/>
          <w:szCs w:val="24"/>
          <w:lang w:val="sv-SE"/>
        </w:rPr>
        <w:tab/>
        <w:t>R4-</w:t>
      </w:r>
      <w:r w:rsidR="004276ED" w:rsidRPr="004276ED">
        <w:t xml:space="preserve"> </w:t>
      </w:r>
      <w:r w:rsidR="00CB752C" w:rsidRPr="00CB752C">
        <w:rPr>
          <w:noProof w:val="0"/>
          <w:sz w:val="24"/>
          <w:szCs w:val="24"/>
          <w:lang w:val="sv-SE"/>
        </w:rPr>
        <w:t>1712280</w:t>
      </w:r>
    </w:p>
    <w:p w:rsidR="00AC1D3D" w:rsidRDefault="00D717A8" w:rsidP="00AC1D3D">
      <w:pPr>
        <w:pStyle w:val="CRCoverPage"/>
        <w:outlineLvl w:val="0"/>
        <w:rPr>
          <w:b/>
          <w:noProof/>
          <w:sz w:val="24"/>
        </w:rPr>
      </w:pPr>
      <w:r>
        <w:rPr>
          <w:b/>
          <w:sz w:val="24"/>
          <w:szCs w:val="24"/>
        </w:rPr>
        <w:t>Reno</w:t>
      </w:r>
      <w:r w:rsidR="00AC1D3D">
        <w:rPr>
          <w:b/>
          <w:noProof/>
          <w:sz w:val="24"/>
        </w:rPr>
        <w:t xml:space="preserve">, </w:t>
      </w:r>
      <w:r>
        <w:rPr>
          <w:b/>
          <w:noProof/>
          <w:sz w:val="24"/>
        </w:rPr>
        <w:t>USA</w:t>
      </w:r>
      <w:r w:rsidR="00AC1D3D">
        <w:rPr>
          <w:b/>
          <w:noProof/>
          <w:sz w:val="24"/>
        </w:rPr>
        <w:t>, 2</w:t>
      </w:r>
      <w:r w:rsidR="00F600A5">
        <w:fldChar w:fldCharType="begin"/>
      </w:r>
      <w:r w:rsidR="00F600A5">
        <w:instrText xml:space="preserve"> DOCPROPERTY  EndDate  \* MERGEFORMAT </w:instrText>
      </w:r>
      <w:r w:rsidR="00F600A5">
        <w:fldChar w:fldCharType="separate"/>
      </w:r>
      <w:r w:rsidR="00AC1D3D">
        <w:rPr>
          <w:b/>
          <w:noProof/>
          <w:sz w:val="24"/>
        </w:rPr>
        <w:t>7</w:t>
      </w:r>
      <w:r w:rsidR="00AC1D3D" w:rsidRPr="00B6437C">
        <w:rPr>
          <w:b/>
          <w:noProof/>
          <w:sz w:val="24"/>
          <w:vertAlign w:val="superscript"/>
        </w:rPr>
        <w:t>th</w:t>
      </w:r>
      <w:r w:rsidR="00AC1D3D">
        <w:rPr>
          <w:b/>
          <w:noProof/>
          <w:sz w:val="24"/>
        </w:rPr>
        <w:t xml:space="preserve"> </w:t>
      </w:r>
      <w:r w:rsidR="003F6491">
        <w:rPr>
          <w:b/>
          <w:noProof/>
          <w:sz w:val="24"/>
        </w:rPr>
        <w:t>November</w:t>
      </w:r>
      <w:r w:rsidR="005A7D39">
        <w:rPr>
          <w:b/>
          <w:noProof/>
          <w:sz w:val="24"/>
        </w:rPr>
        <w:t xml:space="preserve"> - 1</w:t>
      </w:r>
      <w:r w:rsidR="005A7D39" w:rsidRPr="005A7D39">
        <w:rPr>
          <w:b/>
          <w:noProof/>
          <w:sz w:val="24"/>
          <w:vertAlign w:val="superscript"/>
        </w:rPr>
        <w:t>st</w:t>
      </w:r>
      <w:r w:rsidR="005A7D39">
        <w:rPr>
          <w:b/>
          <w:noProof/>
          <w:sz w:val="24"/>
        </w:rPr>
        <w:t xml:space="preserve"> December</w:t>
      </w:r>
      <w:r w:rsidR="00AC1D3D" w:rsidRPr="00BA51D9">
        <w:rPr>
          <w:b/>
          <w:noProof/>
          <w:sz w:val="24"/>
        </w:rPr>
        <w:t xml:space="preserve"> </w:t>
      </w:r>
      <w:r w:rsidR="00AC1D3D">
        <w:rPr>
          <w:b/>
          <w:noProof/>
          <w:sz w:val="24"/>
        </w:rPr>
        <w:t>2017</w:t>
      </w:r>
      <w:r w:rsidR="00F600A5">
        <w:rPr>
          <w:b/>
          <w:noProof/>
          <w:sz w:val="24"/>
        </w:rPr>
        <w:fldChar w:fldCharType="end"/>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CB752C">
        <w:rPr>
          <w:rFonts w:ascii="Arial" w:hAnsi="Arial"/>
          <w:sz w:val="24"/>
        </w:rPr>
        <w:t>8.</w:t>
      </w:r>
      <w:r w:rsidR="00532F9C">
        <w:rPr>
          <w:rFonts w:ascii="Arial" w:hAnsi="Arial"/>
          <w:sz w:val="24"/>
        </w:rPr>
        <w:t>19.</w:t>
      </w:r>
      <w:r w:rsidR="00CB752C">
        <w:rPr>
          <w:rFonts w:ascii="Arial" w:hAnsi="Arial"/>
          <w:sz w:val="24"/>
        </w:rPr>
        <w:t>2</w:t>
      </w:r>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3F6491"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F6491" w:rsidRPr="003F6491">
        <w:rPr>
          <w:rFonts w:ascii="Arial" w:hAnsi="Arial"/>
          <w:sz w:val="24"/>
        </w:rPr>
        <w:t>Initial Result for MPR of Multiple Carrier Operation</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3F6491">
        <w:rPr>
          <w:rFonts w:ascii="Arial" w:hAnsi="Arial"/>
          <w:sz w:val="24"/>
        </w:rPr>
        <w:t>Discussion</w:t>
      </w:r>
    </w:p>
    <w:p w:rsidR="00AC1D3D" w:rsidRDefault="00AC1D3D" w:rsidP="00AC1D3D">
      <w:pPr>
        <w:pStyle w:val="Heading1"/>
      </w:pPr>
      <w:r w:rsidRPr="001C39F7">
        <w:t>Introduction</w:t>
      </w:r>
    </w:p>
    <w:p w:rsidR="004F7EE5" w:rsidRDefault="003F6491" w:rsidP="00341F52">
      <w:pPr>
        <w:pStyle w:val="B1"/>
        <w:ind w:left="0" w:firstLine="0"/>
      </w:pPr>
      <w:r>
        <w:t>We present in this document our initial evaluation result for the MPR of the multiple carrier operation 10+10MHz. The considered modulation order are QPSK, 16QAM (re-evaluating the existing MPR value in square brackets</w:t>
      </w:r>
      <w:r w:rsidR="00486965">
        <w:t xml:space="preserve"> [1]</w:t>
      </w:r>
      <w:r>
        <w:t>), and 64QAM (new feature in R15).</w:t>
      </w:r>
    </w:p>
    <w:p w:rsidR="003F6491" w:rsidRPr="00657AB4" w:rsidRDefault="003F6491" w:rsidP="00341F52">
      <w:pPr>
        <w:pStyle w:val="B1"/>
        <w:ind w:left="0" w:firstLine="0"/>
      </w:pPr>
      <w:r>
        <w:t>It is important to keep in mind that the presented results do not take into account any IBE requirement since the exact requirement is still under discussion (see our companion contribution in [</w:t>
      </w:r>
      <w:r w:rsidR="00486965">
        <w:t>2</w:t>
      </w:r>
      <w:r>
        <w:t xml:space="preserve">]). </w:t>
      </w:r>
    </w:p>
    <w:p w:rsidR="00AC1D3D" w:rsidRDefault="003F6491" w:rsidP="00AC1D3D">
      <w:pPr>
        <w:pStyle w:val="Heading1"/>
      </w:pPr>
      <w:r>
        <w:t>Simulation Setting</w:t>
      </w:r>
    </w:p>
    <w:p w:rsidR="003F6491" w:rsidRDefault="003F6491" w:rsidP="003F6491">
      <w:pPr>
        <w:rPr>
          <w:lang w:val="en-GB"/>
        </w:rPr>
      </w:pPr>
      <w:r>
        <w:rPr>
          <w:lang w:val="en-GB"/>
        </w:rPr>
        <w:t>The setting is based on Annex of [</w:t>
      </w:r>
      <w:r w:rsidR="00486965">
        <w:rPr>
          <w:lang w:val="en-GB"/>
        </w:rPr>
        <w:t>3</w:t>
      </w:r>
      <w:r>
        <w:rPr>
          <w:lang w:val="en-GB"/>
        </w:rPr>
        <w:t>] with the following modifications:</w:t>
      </w:r>
    </w:p>
    <w:p w:rsidR="003F6491" w:rsidRDefault="003F6491" w:rsidP="003F6491">
      <w:pPr>
        <w:pStyle w:val="ListParagraph"/>
        <w:numPr>
          <w:ilvl w:val="0"/>
          <w:numId w:val="36"/>
        </w:numPr>
        <w:rPr>
          <w:lang w:val="en-GB"/>
        </w:rPr>
      </w:pPr>
      <w:r>
        <w:rPr>
          <w:lang w:val="en-GB"/>
        </w:rPr>
        <w:t>We do not consider CA U-ACLR requirements, as the corresponding U-ACLR is not considered for V2X single carrier.</w:t>
      </w:r>
    </w:p>
    <w:p w:rsidR="003F6491" w:rsidRDefault="003F6491" w:rsidP="003F6491">
      <w:pPr>
        <w:pStyle w:val="ListParagraph"/>
        <w:numPr>
          <w:ilvl w:val="0"/>
          <w:numId w:val="36"/>
        </w:numPr>
        <w:rPr>
          <w:lang w:val="en-GB"/>
        </w:rPr>
      </w:pPr>
      <w:r>
        <w:rPr>
          <w:lang w:val="en-GB"/>
        </w:rPr>
        <w:t>Channel spacing: we consider a fixed channel spacing of 10MHz instead of the CA nominal channel spacing of 9.9MHz. We think this is a more appropriate setting for V2X.</w:t>
      </w:r>
    </w:p>
    <w:p w:rsidR="003F6491" w:rsidRDefault="003F6491" w:rsidP="003F6491">
      <w:pPr>
        <w:pStyle w:val="ListParagraph"/>
        <w:numPr>
          <w:ilvl w:val="0"/>
          <w:numId w:val="36"/>
        </w:numPr>
        <w:rPr>
          <w:lang w:val="en-GB"/>
        </w:rPr>
      </w:pPr>
      <w:r>
        <w:rPr>
          <w:lang w:val="en-GB"/>
        </w:rPr>
        <w:t xml:space="preserve">PA model: </w:t>
      </w:r>
      <w:r w:rsidR="00F754C7">
        <w:rPr>
          <w:lang w:val="en-GB"/>
        </w:rPr>
        <w:t>we use two different models, one corresponding to a very good PA, and the other is a slightly worse one.</w:t>
      </w:r>
    </w:p>
    <w:p w:rsidR="003F6491" w:rsidRDefault="003F6491" w:rsidP="003F6491">
      <w:pPr>
        <w:pStyle w:val="ListParagraph"/>
        <w:numPr>
          <w:ilvl w:val="0"/>
          <w:numId w:val="36"/>
        </w:numPr>
        <w:rPr>
          <w:lang w:val="en-GB"/>
        </w:rPr>
      </w:pPr>
      <w:r>
        <w:rPr>
          <w:lang w:val="en-GB"/>
        </w:rPr>
        <w:t xml:space="preserve">We do not consider IBE requirement. This will make the result with 2 narrow RB allocations at the inner part of the aggregated bandwidth to be more optimistic since their IMD product will fall into the in band region and is not capture in this simulation. For the waveforms with 2 narrow RB allocations at </w:t>
      </w:r>
      <w:r w:rsidR="00DE236E">
        <w:rPr>
          <w:lang w:val="en-GB"/>
        </w:rPr>
        <w:t>the outer part of the aggregated bandwidth their MPR is expected to be the highest since their IMD product will create peaks in the SEM region.</w:t>
      </w:r>
    </w:p>
    <w:p w:rsidR="00DE236E" w:rsidRDefault="00DE236E" w:rsidP="003F6491">
      <w:pPr>
        <w:pStyle w:val="ListParagraph"/>
        <w:numPr>
          <w:ilvl w:val="0"/>
          <w:numId w:val="36"/>
        </w:numPr>
        <w:rPr>
          <w:lang w:val="en-GB"/>
        </w:rPr>
      </w:pPr>
      <w:r>
        <w:rPr>
          <w:lang w:val="en-GB"/>
        </w:rPr>
        <w:t>Modulation orders: we consider both QPSK, 16QAM and 64QAM. While only the result for 64QAM is necessary for R15 work, we do want to double check the result for QPSK and 16QAM. The reason is that we see a big gap between the current MPR requirement for V2X in this case and the corresponding CA requirement. Indeed, the LTE CA requirement is (for the case of non contiguous RB allocation)</w:t>
      </w:r>
    </w:p>
    <w:p w:rsidR="00DE236E" w:rsidRPr="00DE236E" w:rsidRDefault="00DE236E" w:rsidP="00DE236E">
      <w:pPr>
        <w:rPr>
          <w:highlight w:val="yellow"/>
        </w:rPr>
      </w:pPr>
      <w:r w:rsidRPr="00DE236E">
        <w:rPr>
          <w:highlight w:val="yellow"/>
        </w:rPr>
        <w:t xml:space="preserve">For intra-band contiguous carrier aggregation bandwidth class B with non-contiguous resource allocation, the allowed Maximum Power Reduction (MPR) for the maximum output power in Table 6.2.2A-1 is specified as follows </w:t>
      </w:r>
    </w:p>
    <w:p w:rsidR="00DE236E" w:rsidRPr="00DE236E" w:rsidRDefault="00DE236E" w:rsidP="00DE236E">
      <w:pPr>
        <w:pStyle w:val="EQ"/>
        <w:jc w:val="center"/>
        <w:rPr>
          <w:highlight w:val="yellow"/>
          <w:lang w:val="en-US"/>
        </w:rPr>
      </w:pPr>
      <w:r w:rsidRPr="00DE236E">
        <w:rPr>
          <w:highlight w:val="yellow"/>
          <w:lang w:val="en-US"/>
        </w:rPr>
        <w:t>MPR = CEIL { M</w:t>
      </w:r>
      <w:r w:rsidRPr="00DE236E">
        <w:rPr>
          <w:highlight w:val="yellow"/>
          <w:vertAlign w:val="subscript"/>
          <w:lang w:val="en-US"/>
        </w:rPr>
        <w:t>A,</w:t>
      </w:r>
      <w:r w:rsidRPr="00DE236E">
        <w:rPr>
          <w:highlight w:val="yellow"/>
          <w:lang w:val="en-US"/>
        </w:rPr>
        <w:t xml:space="preserve"> 0.5}</w:t>
      </w:r>
    </w:p>
    <w:p w:rsidR="00DE236E" w:rsidRPr="00DE236E" w:rsidRDefault="00DE236E" w:rsidP="00DE236E">
      <w:pPr>
        <w:rPr>
          <w:highlight w:val="yellow"/>
          <w:lang w:val="en-GB"/>
        </w:rPr>
      </w:pPr>
      <w:r w:rsidRPr="00DE236E">
        <w:rPr>
          <w:highlight w:val="yellow"/>
        </w:rPr>
        <w:t>Where M</w:t>
      </w:r>
      <w:r w:rsidRPr="00DE236E">
        <w:rPr>
          <w:highlight w:val="yellow"/>
          <w:vertAlign w:val="subscript"/>
        </w:rPr>
        <w:t xml:space="preserve">A </w:t>
      </w:r>
      <w:r w:rsidRPr="00DE236E">
        <w:rPr>
          <w:highlight w:val="yellow"/>
        </w:rPr>
        <w:t>is defined as follows</w:t>
      </w:r>
      <w:r w:rsidRPr="00DE236E">
        <w:rPr>
          <w:highlight w:val="yellow"/>
          <w:vertAlign w:val="subscript"/>
        </w:rPr>
        <w:t xml:space="preserve"> </w:t>
      </w:r>
      <w:r w:rsidRPr="00DE236E">
        <w:rPr>
          <w:highlight w:val="yellow"/>
        </w:rPr>
        <w:t>for QPSK, 16 QAM and 64 QAM</w:t>
      </w:r>
    </w:p>
    <w:p w:rsidR="00DE236E" w:rsidRPr="00DE236E" w:rsidRDefault="00DE236E" w:rsidP="00DE236E">
      <w:pPr>
        <w:rPr>
          <w:highlight w:val="yellow"/>
        </w:rPr>
      </w:pPr>
    </w:p>
    <w:p w:rsidR="00DE236E" w:rsidRPr="00DE236E" w:rsidRDefault="00DE236E" w:rsidP="00DE236E">
      <w:pPr>
        <w:ind w:firstLine="3261"/>
        <w:rPr>
          <w:highlight w:val="yellow"/>
        </w:rPr>
      </w:pPr>
      <w:r w:rsidRPr="00DE236E">
        <w:rPr>
          <w:highlight w:val="yellow"/>
        </w:rPr>
        <w:t>M</w:t>
      </w:r>
      <w:r w:rsidRPr="00DE236E">
        <w:rPr>
          <w:highlight w:val="yellow"/>
          <w:vertAlign w:val="subscript"/>
        </w:rPr>
        <w:t>A</w:t>
      </w:r>
      <w:r w:rsidRPr="00DE236E">
        <w:rPr>
          <w:highlight w:val="yellow"/>
        </w:rPr>
        <w:t xml:space="preserve"> =</w:t>
      </w:r>
      <w:r w:rsidRPr="00DE236E">
        <w:rPr>
          <w:highlight w:val="yellow"/>
        </w:rPr>
        <w:tab/>
        <w:t>10.5 – 17.5A</w:t>
      </w:r>
      <w:r w:rsidRPr="00DE236E">
        <w:rPr>
          <w:highlight w:val="yellow"/>
        </w:rPr>
        <w:tab/>
      </w:r>
      <w:r w:rsidRPr="00DE236E">
        <w:rPr>
          <w:rFonts w:eastAsia="Malgun Gothic"/>
          <w:highlight w:val="yellow"/>
        </w:rPr>
        <w:tab/>
      </w:r>
      <w:r w:rsidRPr="00DE236E">
        <w:rPr>
          <w:rFonts w:eastAsia="Malgun Gothic"/>
          <w:highlight w:val="yellow"/>
        </w:rPr>
        <w:tab/>
      </w:r>
      <w:r w:rsidRPr="00DE236E">
        <w:rPr>
          <w:highlight w:val="yellow"/>
        </w:rPr>
        <w:t>; 0 ≤ A &lt; 0.2</w:t>
      </w:r>
    </w:p>
    <w:p w:rsidR="00DE236E" w:rsidRPr="00DE236E" w:rsidRDefault="00DE236E" w:rsidP="00DE236E">
      <w:pPr>
        <w:ind w:left="3260" w:firstLine="720"/>
        <w:rPr>
          <w:highlight w:val="yellow"/>
          <w:lang w:val="en-GB"/>
        </w:rPr>
      </w:pPr>
      <w:r w:rsidRPr="00DE236E">
        <w:rPr>
          <w:highlight w:val="yellow"/>
        </w:rPr>
        <w:lastRenderedPageBreak/>
        <w:t xml:space="preserve">8.5 – 7.5A </w:t>
      </w:r>
      <w:r w:rsidRPr="00DE236E">
        <w:rPr>
          <w:highlight w:val="yellow"/>
        </w:rPr>
        <w:tab/>
      </w:r>
      <w:r w:rsidRPr="00DE236E">
        <w:rPr>
          <w:rFonts w:eastAsia="Malgun Gothic"/>
          <w:highlight w:val="yellow"/>
        </w:rPr>
        <w:tab/>
      </w:r>
      <w:r w:rsidRPr="00DE236E">
        <w:rPr>
          <w:rFonts w:eastAsia="Malgun Gothic"/>
          <w:highlight w:val="yellow"/>
        </w:rPr>
        <w:tab/>
      </w:r>
      <w:r w:rsidRPr="00DE236E">
        <w:rPr>
          <w:highlight w:val="yellow"/>
        </w:rPr>
        <w:t>; 0.2 ≤ A &lt; 0.6</w:t>
      </w:r>
    </w:p>
    <w:p w:rsidR="00DE236E" w:rsidRDefault="00DE236E" w:rsidP="00DE236E">
      <w:pPr>
        <w:ind w:left="3260" w:firstLine="720"/>
      </w:pPr>
      <w:r w:rsidRPr="00DE236E">
        <w:rPr>
          <w:highlight w:val="yellow"/>
        </w:rPr>
        <w:t xml:space="preserve">5.5 – 2.5A </w:t>
      </w:r>
      <w:r w:rsidRPr="00DE236E">
        <w:rPr>
          <w:highlight w:val="yellow"/>
        </w:rPr>
        <w:tab/>
      </w:r>
      <w:r w:rsidRPr="00DE236E">
        <w:rPr>
          <w:rFonts w:eastAsia="Malgun Gothic"/>
          <w:highlight w:val="yellow"/>
        </w:rPr>
        <w:tab/>
      </w:r>
      <w:r w:rsidRPr="00DE236E">
        <w:rPr>
          <w:rFonts w:eastAsia="Malgun Gothic"/>
          <w:highlight w:val="yellow"/>
        </w:rPr>
        <w:tab/>
      </w:r>
      <w:r w:rsidRPr="00DE236E">
        <w:rPr>
          <w:highlight w:val="yellow"/>
        </w:rPr>
        <w:t>; 0.6 ≤ A ≤ 1</w:t>
      </w:r>
    </w:p>
    <w:p w:rsidR="00DE236E" w:rsidRPr="00DE236E" w:rsidRDefault="00DE236E" w:rsidP="00DE236E">
      <w:pPr>
        <w:ind w:left="360"/>
        <w:rPr>
          <w:lang w:val="en-GB"/>
        </w:rPr>
      </w:pPr>
    </w:p>
    <w:p w:rsidR="00DE236E" w:rsidRDefault="00DE236E" w:rsidP="00DE236E">
      <w:pPr>
        <w:pStyle w:val="ListParagraph"/>
        <w:rPr>
          <w:lang w:val="en-GB"/>
        </w:rPr>
      </w:pPr>
      <w:r>
        <w:rPr>
          <w:lang w:val="en-GB"/>
        </w:rPr>
        <w:t>While the V2X requirement is</w:t>
      </w:r>
    </w:p>
    <w:p w:rsidR="00DE236E" w:rsidRPr="00DE236E" w:rsidRDefault="00DE236E" w:rsidP="00DE236E">
      <w:pPr>
        <w:rPr>
          <w:highlight w:val="yellow"/>
          <w:lang w:eastAsia="zh-CN"/>
        </w:rPr>
      </w:pPr>
      <w:r w:rsidRPr="00DE236E">
        <w:rPr>
          <w:highlight w:val="yellow"/>
        </w:rPr>
        <w:t xml:space="preserve">For intra-band contiguous </w:t>
      </w:r>
      <w:r w:rsidRPr="00DE236E">
        <w:rPr>
          <w:rFonts w:eastAsia="SimSun"/>
          <w:highlight w:val="yellow"/>
          <w:lang w:eastAsia="zh-CN"/>
        </w:rPr>
        <w:t>multi-carrier</w:t>
      </w:r>
      <w:r w:rsidRPr="00DE236E">
        <w:rPr>
          <w:highlight w:val="yellow"/>
        </w:rPr>
        <w:t xml:space="preserve"> operation</w:t>
      </w:r>
      <w:r w:rsidRPr="00DE236E">
        <w:rPr>
          <w:highlight w:val="yellow"/>
          <w:lang w:eastAsia="zh-CN"/>
        </w:rPr>
        <w:t xml:space="preserve"> </w:t>
      </w:r>
      <w:r w:rsidRPr="00DE236E">
        <w:rPr>
          <w:highlight w:val="yellow"/>
        </w:rPr>
        <w:t>the allowed Maximum Power Reduction (MPR) for the maximum output power in Table 6.2.2</w:t>
      </w:r>
      <w:r w:rsidRPr="00DE236E">
        <w:rPr>
          <w:highlight w:val="yellow"/>
          <w:lang w:eastAsia="zh-CN"/>
        </w:rPr>
        <w:t>G</w:t>
      </w:r>
      <w:r w:rsidRPr="00DE236E">
        <w:rPr>
          <w:rFonts w:eastAsia="Malgun Gothic"/>
          <w:highlight w:val="yellow"/>
        </w:rPr>
        <w:t>.1-2</w:t>
      </w:r>
      <w:r w:rsidRPr="00DE236E">
        <w:rPr>
          <w:highlight w:val="yellow"/>
          <w:lang w:eastAsia="zh-CN"/>
        </w:rPr>
        <w:t xml:space="preserve"> </w:t>
      </w:r>
      <w:r w:rsidRPr="00DE236E">
        <w:rPr>
          <w:highlight w:val="yellow"/>
        </w:rPr>
        <w:t>due to higher order modulation is specified in Table 6.2.3</w:t>
      </w:r>
      <w:r w:rsidRPr="00DE236E">
        <w:rPr>
          <w:highlight w:val="yellow"/>
          <w:lang w:eastAsia="zh-CN"/>
        </w:rPr>
        <w:t>G</w:t>
      </w:r>
      <w:r w:rsidRPr="00DE236E">
        <w:rPr>
          <w:rFonts w:eastAsia="Malgun Gothic"/>
          <w:highlight w:val="yellow"/>
        </w:rPr>
        <w:t>.1</w:t>
      </w:r>
      <w:r w:rsidRPr="00DE236E">
        <w:rPr>
          <w:highlight w:val="yellow"/>
        </w:rPr>
        <w:t>-</w:t>
      </w:r>
      <w:r w:rsidRPr="00DE236E">
        <w:rPr>
          <w:rFonts w:eastAsia="Malgun Gothic"/>
          <w:highlight w:val="yellow"/>
        </w:rPr>
        <w:t>2</w:t>
      </w:r>
      <w:r w:rsidRPr="00DE236E">
        <w:rPr>
          <w:highlight w:val="yellow"/>
        </w:rPr>
        <w:t>. In case the modulation format is different on different component carriers then the MPR is determined by the rules applied to higher order of those modulations.</w:t>
      </w:r>
      <w:r w:rsidRPr="00DE236E">
        <w:rPr>
          <w:highlight w:val="yellow"/>
          <w:lang w:eastAsia="zh-CN"/>
        </w:rPr>
        <w:t xml:space="preserve"> </w:t>
      </w:r>
    </w:p>
    <w:p w:rsidR="00DE236E" w:rsidRPr="00DE236E" w:rsidRDefault="00DE236E" w:rsidP="00DE236E">
      <w:pPr>
        <w:pStyle w:val="TH"/>
        <w:rPr>
          <w:highlight w:val="yellow"/>
        </w:rPr>
      </w:pPr>
      <w:r w:rsidRPr="00DE236E">
        <w:rPr>
          <w:highlight w:val="yellow"/>
        </w:rPr>
        <w:t xml:space="preserve">Table </w:t>
      </w:r>
      <w:r w:rsidRPr="00DE236E">
        <w:rPr>
          <w:highlight w:val="yellow"/>
          <w:lang w:eastAsia="zh-CN"/>
        </w:rPr>
        <w:t>6.2.3G</w:t>
      </w:r>
      <w:r w:rsidRPr="00DE236E">
        <w:rPr>
          <w:rFonts w:eastAsia="Malgun Gothic"/>
          <w:highlight w:val="yellow"/>
        </w:rPr>
        <w:t>.1</w:t>
      </w:r>
      <w:r w:rsidRPr="00DE236E">
        <w:rPr>
          <w:highlight w:val="yellow"/>
          <w:lang w:eastAsia="zh-CN"/>
        </w:rPr>
        <w:t>-</w:t>
      </w:r>
      <w:r w:rsidRPr="00DE236E">
        <w:rPr>
          <w:rFonts w:eastAsia="Malgun Gothic"/>
          <w:highlight w:val="yellow"/>
        </w:rPr>
        <w:t>2</w:t>
      </w:r>
      <w:r w:rsidRPr="00DE236E">
        <w:rPr>
          <w:highlight w:val="yellow"/>
        </w:rPr>
        <w:t>: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997"/>
        <w:gridCol w:w="998"/>
        <w:gridCol w:w="998"/>
        <w:gridCol w:w="799"/>
      </w:tblGrid>
      <w:tr w:rsidR="00DE236E" w:rsidRPr="00DE236E" w:rsidTr="00DE236E">
        <w:trPr>
          <w:trHeight w:val="383"/>
          <w:jc w:val="center"/>
        </w:trPr>
        <w:tc>
          <w:tcPr>
            <w:tcW w:w="1304"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H"/>
              <w:rPr>
                <w:highlight w:val="yellow"/>
                <w:lang w:eastAsia="zh-CN"/>
              </w:rPr>
            </w:pPr>
            <w:r w:rsidRPr="00DE236E">
              <w:rPr>
                <w:highlight w:val="yellow"/>
                <w:lang w:eastAsia="zh-CN"/>
              </w:rPr>
              <w:t>Modulation</w:t>
            </w:r>
          </w:p>
        </w:tc>
        <w:tc>
          <w:tcPr>
            <w:tcW w:w="997"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H"/>
              <w:rPr>
                <w:highlight w:val="yellow"/>
                <w:lang w:eastAsia="ko-KR"/>
              </w:rPr>
            </w:pPr>
            <w:r w:rsidRPr="00DE236E">
              <w:rPr>
                <w:highlight w:val="yellow"/>
                <w:lang w:eastAsia="ko-KR"/>
              </w:rPr>
              <w:t>50 RB + 50 RB</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H"/>
              <w:rPr>
                <w:highlight w:val="yellow"/>
                <w:lang w:eastAsia="ko-KR"/>
              </w:rPr>
            </w:pPr>
            <w:r w:rsidRPr="00DE236E">
              <w:rPr>
                <w:highlight w:val="yellow"/>
                <w:lang w:eastAsia="ko-KR"/>
              </w:rPr>
              <w:t>50 RB + 100 RB</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H"/>
              <w:rPr>
                <w:highlight w:val="yellow"/>
                <w:lang w:eastAsia="ko-KR"/>
              </w:rPr>
            </w:pPr>
            <w:r w:rsidRPr="00DE236E">
              <w:rPr>
                <w:highlight w:val="yellow"/>
                <w:lang w:eastAsia="ko-KR"/>
              </w:rPr>
              <w:t>100 RB + 100 RB</w:t>
            </w:r>
          </w:p>
        </w:tc>
        <w:tc>
          <w:tcPr>
            <w:tcW w:w="799"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H"/>
              <w:rPr>
                <w:highlight w:val="yellow"/>
                <w:lang w:eastAsia="ko-KR"/>
              </w:rPr>
            </w:pPr>
            <w:r w:rsidRPr="00DE236E">
              <w:rPr>
                <w:highlight w:val="yellow"/>
                <w:lang w:eastAsia="ko-KR"/>
              </w:rPr>
              <w:t>MPR (dB)</w:t>
            </w:r>
          </w:p>
        </w:tc>
      </w:tr>
      <w:tr w:rsidR="00DE236E" w:rsidRPr="00DE236E" w:rsidTr="00DE236E">
        <w:trPr>
          <w:jc w:val="center"/>
        </w:trPr>
        <w:tc>
          <w:tcPr>
            <w:tcW w:w="1304"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ko-KR"/>
              </w:rPr>
            </w:pPr>
            <w:r w:rsidRPr="00DE236E">
              <w:rPr>
                <w:highlight w:val="yellow"/>
                <w:lang w:eastAsia="ko-KR"/>
              </w:rPr>
              <w:t>QPSK</w:t>
            </w:r>
          </w:p>
        </w:tc>
        <w:tc>
          <w:tcPr>
            <w:tcW w:w="997"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zh-CN"/>
              </w:rPr>
            </w:pPr>
            <w:r w:rsidRPr="00DE236E">
              <w:rPr>
                <w:highlight w:val="yellow"/>
                <w:lang w:eastAsia="zh-CN"/>
              </w:rPr>
              <w:t>-</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zh-CN"/>
              </w:rPr>
            </w:pPr>
            <w:r w:rsidRPr="00DE236E">
              <w:rPr>
                <w:highlight w:val="yellow"/>
                <w:lang w:eastAsia="zh-CN"/>
              </w:rPr>
              <w:t>N/A</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ko-KR"/>
              </w:rPr>
            </w:pPr>
            <w:r w:rsidRPr="00DE236E">
              <w:rPr>
                <w:highlight w:val="yellow"/>
                <w:lang w:eastAsia="zh-CN"/>
              </w:rPr>
              <w:t>N/A</w:t>
            </w:r>
          </w:p>
        </w:tc>
        <w:tc>
          <w:tcPr>
            <w:tcW w:w="799"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zh-CN"/>
              </w:rPr>
            </w:pPr>
            <w:r w:rsidRPr="00DE236E">
              <w:rPr>
                <w:highlight w:val="yellow"/>
                <w:lang w:eastAsia="ko-KR"/>
              </w:rPr>
              <w:t xml:space="preserve">≤ </w:t>
            </w:r>
            <w:r w:rsidRPr="00DE236E">
              <w:rPr>
                <w:highlight w:val="yellow"/>
                <w:lang w:eastAsia="zh-CN"/>
              </w:rPr>
              <w:t>[3]</w:t>
            </w:r>
          </w:p>
        </w:tc>
      </w:tr>
      <w:tr w:rsidR="00DE236E" w:rsidTr="00DE236E">
        <w:trPr>
          <w:jc w:val="center"/>
        </w:trPr>
        <w:tc>
          <w:tcPr>
            <w:tcW w:w="1304"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ko-KR"/>
              </w:rPr>
            </w:pPr>
            <w:r w:rsidRPr="00DE236E">
              <w:rPr>
                <w:highlight w:val="yellow"/>
                <w:lang w:eastAsia="ko-KR"/>
              </w:rPr>
              <w:t>16 QAM</w:t>
            </w:r>
          </w:p>
        </w:tc>
        <w:tc>
          <w:tcPr>
            <w:tcW w:w="997"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zh-CN"/>
              </w:rPr>
            </w:pPr>
            <w:r w:rsidRPr="00DE236E">
              <w:rPr>
                <w:highlight w:val="yellow"/>
                <w:lang w:eastAsia="zh-CN"/>
              </w:rPr>
              <w:t>-</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ko-KR"/>
              </w:rPr>
            </w:pPr>
            <w:r w:rsidRPr="00DE236E">
              <w:rPr>
                <w:highlight w:val="yellow"/>
                <w:lang w:eastAsia="zh-CN"/>
              </w:rPr>
              <w:t>N/A</w:t>
            </w:r>
          </w:p>
        </w:tc>
        <w:tc>
          <w:tcPr>
            <w:tcW w:w="998" w:type="dxa"/>
            <w:tcBorders>
              <w:top w:val="single" w:sz="4" w:space="0" w:color="auto"/>
              <w:left w:val="single" w:sz="4" w:space="0" w:color="auto"/>
              <w:bottom w:val="single" w:sz="4" w:space="0" w:color="auto"/>
              <w:right w:val="single" w:sz="4" w:space="0" w:color="auto"/>
            </w:tcBorders>
            <w:hideMark/>
          </w:tcPr>
          <w:p w:rsidR="00DE236E" w:rsidRPr="00DE236E" w:rsidRDefault="00DE236E">
            <w:pPr>
              <w:pStyle w:val="TAC"/>
              <w:rPr>
                <w:highlight w:val="yellow"/>
                <w:lang w:eastAsia="ko-KR"/>
              </w:rPr>
            </w:pPr>
            <w:r w:rsidRPr="00DE236E">
              <w:rPr>
                <w:highlight w:val="yellow"/>
                <w:lang w:eastAsia="zh-CN"/>
              </w:rPr>
              <w:t>N/A</w:t>
            </w:r>
          </w:p>
        </w:tc>
        <w:tc>
          <w:tcPr>
            <w:tcW w:w="799" w:type="dxa"/>
            <w:tcBorders>
              <w:top w:val="single" w:sz="4" w:space="0" w:color="auto"/>
              <w:left w:val="single" w:sz="4" w:space="0" w:color="auto"/>
              <w:bottom w:val="single" w:sz="4" w:space="0" w:color="auto"/>
              <w:right w:val="single" w:sz="4" w:space="0" w:color="auto"/>
            </w:tcBorders>
            <w:hideMark/>
          </w:tcPr>
          <w:p w:rsidR="00DE236E" w:rsidRDefault="00DE236E">
            <w:pPr>
              <w:pStyle w:val="TAC"/>
              <w:rPr>
                <w:lang w:eastAsia="zh-CN"/>
              </w:rPr>
            </w:pPr>
            <w:r w:rsidRPr="00DE236E">
              <w:rPr>
                <w:highlight w:val="yellow"/>
                <w:lang w:eastAsia="ko-KR"/>
              </w:rPr>
              <w:t xml:space="preserve">≤ </w:t>
            </w:r>
            <w:r w:rsidRPr="00DE236E">
              <w:rPr>
                <w:highlight w:val="yellow"/>
                <w:lang w:eastAsia="zh-CN"/>
              </w:rPr>
              <w:t>[3]</w:t>
            </w:r>
          </w:p>
        </w:tc>
      </w:tr>
    </w:tbl>
    <w:p w:rsidR="00DE236E" w:rsidRDefault="00CA0F55" w:rsidP="00DE236E">
      <w:pPr>
        <w:pStyle w:val="ListParagraph"/>
        <w:rPr>
          <w:lang w:val="en-GB"/>
        </w:rPr>
      </w:pPr>
      <w:r>
        <w:rPr>
          <w:lang w:val="en-GB"/>
        </w:rPr>
        <w:t>We see that for LTE CA, a 5+5RB allocations on 10+10MHz require CEIL{10.5 – 1.75, 0.5} = 9dB of MPR, while the current result for V2X is just 3dB. It is quite counter intuitive since V2X waveform is expected to have more PAPR than LTE CA waveform due to the fact more DFT cluster is used.</w:t>
      </w:r>
    </w:p>
    <w:p w:rsidR="00CA0F55" w:rsidRPr="00CA0F55" w:rsidRDefault="00CA0F55" w:rsidP="00CA0F55">
      <w:pPr>
        <w:pStyle w:val="ListParagraph"/>
        <w:ind w:left="0"/>
        <w:rPr>
          <w:i/>
          <w:u w:val="single"/>
          <w:lang w:val="en-GB"/>
        </w:rPr>
      </w:pPr>
      <w:r w:rsidRPr="00CA0F55">
        <w:rPr>
          <w:b/>
          <w:i/>
          <w:u w:val="single"/>
          <w:lang w:val="en-GB"/>
        </w:rPr>
        <w:t>Observation 1:</w:t>
      </w:r>
      <w:r w:rsidRPr="00CA0F55">
        <w:rPr>
          <w:i/>
          <w:u w:val="single"/>
          <w:lang w:val="en-GB"/>
        </w:rPr>
        <w:t xml:space="preserve"> There is a big gap between LTE CA MPR requirement and the existing V2X requirement. Simulation for QPSK and 16QAM need to be redo to double check.</w:t>
      </w:r>
    </w:p>
    <w:p w:rsidR="00AC1D3D" w:rsidRDefault="00DE236E" w:rsidP="00AC1D3D">
      <w:pPr>
        <w:pStyle w:val="Heading1"/>
      </w:pPr>
      <w:r>
        <w:t>Simulation Result</w:t>
      </w:r>
    </w:p>
    <w:p w:rsidR="00862D03" w:rsidRDefault="00F754C7" w:rsidP="00CA0F55">
      <w:pPr>
        <w:pStyle w:val="Heading2"/>
      </w:pPr>
      <w:r>
        <w:t>PA 1</w:t>
      </w:r>
    </w:p>
    <w:p w:rsidR="00017ABB" w:rsidRDefault="00017ABB" w:rsidP="00017ABB">
      <w:pPr>
        <w:rPr>
          <w:lang w:val="en-GB"/>
        </w:rPr>
      </w:pPr>
      <w:r w:rsidRPr="00017ABB">
        <w:rPr>
          <w:noProof/>
          <w:lang w:val="en-GB"/>
        </w:rPr>
        <w:drawing>
          <wp:inline distT="0" distB="0" distL="0" distR="0" wp14:anchorId="470A2CCC" wp14:editId="0C0F0766">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34000" cy="4000500"/>
                    </a:xfrm>
                    <a:prstGeom prst="rect">
                      <a:avLst/>
                    </a:prstGeom>
                  </pic:spPr>
                </pic:pic>
              </a:graphicData>
            </a:graphic>
          </wp:inline>
        </w:drawing>
      </w:r>
    </w:p>
    <w:p w:rsidR="00017ABB" w:rsidRDefault="00017ABB" w:rsidP="00017ABB">
      <w:pPr>
        <w:jc w:val="center"/>
        <w:rPr>
          <w:lang w:val="en-GB"/>
        </w:rPr>
      </w:pPr>
      <w:r>
        <w:rPr>
          <w:lang w:val="en-GB"/>
        </w:rPr>
        <w:t>Figure 1. MPR for QPSK</w:t>
      </w:r>
    </w:p>
    <w:p w:rsidR="00017ABB" w:rsidRDefault="00017ABB" w:rsidP="00017ABB">
      <w:pPr>
        <w:rPr>
          <w:lang w:val="en-GB"/>
        </w:rPr>
      </w:pPr>
      <w:r w:rsidRPr="00017ABB">
        <w:rPr>
          <w:noProof/>
          <w:lang w:val="en-GB"/>
        </w:rPr>
        <w:lastRenderedPageBreak/>
        <w:drawing>
          <wp:inline distT="0" distB="0" distL="0" distR="0" wp14:anchorId="09930865" wp14:editId="1DA99C2D">
            <wp:extent cx="5334000" cy="400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4000500"/>
                    </a:xfrm>
                    <a:prstGeom prst="rect">
                      <a:avLst/>
                    </a:prstGeom>
                  </pic:spPr>
                </pic:pic>
              </a:graphicData>
            </a:graphic>
          </wp:inline>
        </w:drawing>
      </w:r>
    </w:p>
    <w:p w:rsidR="00017ABB" w:rsidRDefault="00017ABB" w:rsidP="00017ABB">
      <w:pPr>
        <w:jc w:val="center"/>
        <w:rPr>
          <w:lang w:val="en-GB"/>
        </w:rPr>
      </w:pPr>
      <w:r>
        <w:rPr>
          <w:lang w:val="en-GB"/>
        </w:rPr>
        <w:t>Figure 2. MPR for 16QAM</w:t>
      </w:r>
    </w:p>
    <w:p w:rsidR="00017ABB" w:rsidRDefault="00017ABB" w:rsidP="00017ABB">
      <w:pPr>
        <w:rPr>
          <w:lang w:val="en-GB"/>
        </w:rPr>
      </w:pPr>
    </w:p>
    <w:p w:rsidR="00017ABB" w:rsidRDefault="00017ABB" w:rsidP="00017ABB">
      <w:pPr>
        <w:rPr>
          <w:lang w:val="en-GB"/>
        </w:rPr>
      </w:pPr>
      <w:r w:rsidRPr="00017ABB">
        <w:rPr>
          <w:noProof/>
          <w:lang w:val="en-GB"/>
        </w:rPr>
        <w:drawing>
          <wp:inline distT="0" distB="0" distL="0" distR="0" wp14:anchorId="272C6E7A" wp14:editId="30176D29">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34000" cy="4000500"/>
                    </a:xfrm>
                    <a:prstGeom prst="rect">
                      <a:avLst/>
                    </a:prstGeom>
                  </pic:spPr>
                </pic:pic>
              </a:graphicData>
            </a:graphic>
          </wp:inline>
        </w:drawing>
      </w:r>
    </w:p>
    <w:p w:rsidR="00017ABB" w:rsidRDefault="00017ABB" w:rsidP="00017ABB">
      <w:pPr>
        <w:jc w:val="center"/>
        <w:rPr>
          <w:lang w:val="en-GB"/>
        </w:rPr>
      </w:pPr>
      <w:r>
        <w:rPr>
          <w:lang w:val="en-GB"/>
        </w:rPr>
        <w:t>Figure 3. MPR for 64QAM</w:t>
      </w:r>
    </w:p>
    <w:p w:rsidR="00017ABB" w:rsidRPr="00017ABB" w:rsidRDefault="00017ABB" w:rsidP="00017ABB">
      <w:pPr>
        <w:rPr>
          <w:lang w:val="en-GB"/>
        </w:rPr>
      </w:pPr>
    </w:p>
    <w:p w:rsidR="00CA0F55" w:rsidRDefault="00F754C7" w:rsidP="00CA0F55">
      <w:pPr>
        <w:pStyle w:val="Heading2"/>
      </w:pPr>
      <w:r>
        <w:t>PA 2</w:t>
      </w:r>
    </w:p>
    <w:p w:rsidR="00017ABB" w:rsidRDefault="00017ABB" w:rsidP="00017ABB">
      <w:pPr>
        <w:rPr>
          <w:noProof/>
        </w:rPr>
      </w:pPr>
      <w:r w:rsidRPr="00017ABB">
        <w:rPr>
          <w:noProof/>
          <w:lang w:val="en-GB"/>
        </w:rPr>
        <w:drawing>
          <wp:inline distT="0" distB="0" distL="0" distR="0" wp14:anchorId="2F1B90A7" wp14:editId="597366CC">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4000" cy="4000500"/>
                    </a:xfrm>
                    <a:prstGeom prst="rect">
                      <a:avLst/>
                    </a:prstGeom>
                  </pic:spPr>
                </pic:pic>
              </a:graphicData>
            </a:graphic>
          </wp:inline>
        </w:drawing>
      </w:r>
      <w:r w:rsidRPr="00017ABB">
        <w:rPr>
          <w:noProof/>
        </w:rPr>
        <w:t xml:space="preserve"> </w:t>
      </w:r>
    </w:p>
    <w:p w:rsidR="00017ABB" w:rsidRDefault="00017ABB" w:rsidP="00017ABB">
      <w:pPr>
        <w:jc w:val="center"/>
        <w:rPr>
          <w:lang w:val="en-GB"/>
        </w:rPr>
      </w:pPr>
      <w:r>
        <w:rPr>
          <w:lang w:val="en-GB"/>
        </w:rPr>
        <w:t>Figure 4. MPR for QPSK</w:t>
      </w:r>
    </w:p>
    <w:p w:rsidR="00017ABB" w:rsidRDefault="00017ABB" w:rsidP="00017ABB">
      <w:pPr>
        <w:rPr>
          <w:noProof/>
        </w:rPr>
      </w:pPr>
    </w:p>
    <w:p w:rsidR="00017ABB" w:rsidRDefault="00017ABB" w:rsidP="00017ABB">
      <w:pPr>
        <w:rPr>
          <w:noProof/>
        </w:rPr>
      </w:pPr>
      <w:r w:rsidRPr="00017ABB">
        <w:rPr>
          <w:noProof/>
          <w:lang w:val="en-GB"/>
        </w:rPr>
        <w:lastRenderedPageBreak/>
        <w:drawing>
          <wp:inline distT="0" distB="0" distL="0" distR="0" wp14:anchorId="163981B4" wp14:editId="069EEBFE">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4000500"/>
                    </a:xfrm>
                    <a:prstGeom prst="rect">
                      <a:avLst/>
                    </a:prstGeom>
                  </pic:spPr>
                </pic:pic>
              </a:graphicData>
            </a:graphic>
          </wp:inline>
        </w:drawing>
      </w:r>
      <w:r w:rsidRPr="00017ABB">
        <w:rPr>
          <w:noProof/>
        </w:rPr>
        <w:t xml:space="preserve"> </w:t>
      </w:r>
    </w:p>
    <w:p w:rsidR="00017ABB" w:rsidRDefault="00017ABB" w:rsidP="00017ABB">
      <w:pPr>
        <w:jc w:val="center"/>
        <w:rPr>
          <w:lang w:val="en-GB"/>
        </w:rPr>
      </w:pPr>
      <w:r>
        <w:rPr>
          <w:lang w:val="en-GB"/>
        </w:rPr>
        <w:t>Figure 5. MPR for 16QAM</w:t>
      </w:r>
    </w:p>
    <w:p w:rsidR="00017ABB" w:rsidRDefault="00017ABB" w:rsidP="00017ABB">
      <w:pPr>
        <w:rPr>
          <w:lang w:val="en-GB"/>
        </w:rPr>
      </w:pPr>
      <w:r w:rsidRPr="00017ABB">
        <w:rPr>
          <w:noProof/>
          <w:lang w:val="en-GB"/>
        </w:rPr>
        <w:drawing>
          <wp:inline distT="0" distB="0" distL="0" distR="0" wp14:anchorId="6C8F4748" wp14:editId="77F5388B">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4000" cy="4000500"/>
                    </a:xfrm>
                    <a:prstGeom prst="rect">
                      <a:avLst/>
                    </a:prstGeom>
                  </pic:spPr>
                </pic:pic>
              </a:graphicData>
            </a:graphic>
          </wp:inline>
        </w:drawing>
      </w:r>
    </w:p>
    <w:p w:rsidR="00017ABB" w:rsidRDefault="00017ABB" w:rsidP="00017ABB">
      <w:pPr>
        <w:jc w:val="center"/>
        <w:rPr>
          <w:lang w:val="en-GB"/>
        </w:rPr>
      </w:pPr>
      <w:r>
        <w:rPr>
          <w:lang w:val="en-GB"/>
        </w:rPr>
        <w:t>Figure 6. MPR for 64QAM</w:t>
      </w:r>
    </w:p>
    <w:p w:rsidR="00017ABB" w:rsidRPr="00017ABB" w:rsidRDefault="00017ABB" w:rsidP="00017ABB">
      <w:pPr>
        <w:rPr>
          <w:lang w:val="en-GB"/>
        </w:rPr>
      </w:pPr>
    </w:p>
    <w:p w:rsidR="00AC1D3D" w:rsidRDefault="00CA0F55" w:rsidP="00607454">
      <w:pPr>
        <w:pStyle w:val="Heading1"/>
      </w:pPr>
      <w:r>
        <w:lastRenderedPageBreak/>
        <w:t>Observations and Proposals</w:t>
      </w:r>
    </w:p>
    <w:p w:rsidR="00CA0F55" w:rsidRDefault="00CA0F55" w:rsidP="00CA0F55">
      <w:pPr>
        <w:rPr>
          <w:lang w:val="en-GB"/>
        </w:rPr>
      </w:pPr>
      <w:r>
        <w:rPr>
          <w:lang w:val="en-GB"/>
        </w:rPr>
        <w:t>Albeit our results are only preliminary, the following observation can be drawn.</w:t>
      </w:r>
    </w:p>
    <w:p w:rsidR="00CA0F55" w:rsidRPr="00CA0F55" w:rsidRDefault="00CA0F55" w:rsidP="00CA0F55">
      <w:pPr>
        <w:rPr>
          <w:i/>
          <w:u w:val="single"/>
          <w:lang w:val="en-GB"/>
        </w:rPr>
      </w:pPr>
      <w:r w:rsidRPr="00CA0F55">
        <w:rPr>
          <w:b/>
          <w:i/>
          <w:u w:val="single"/>
          <w:lang w:val="en-GB"/>
        </w:rPr>
        <w:t>Observation 2:</w:t>
      </w:r>
      <w:r w:rsidRPr="00CA0F55">
        <w:rPr>
          <w:i/>
          <w:u w:val="single"/>
          <w:lang w:val="en-GB"/>
        </w:rPr>
        <w:t xml:space="preserve"> the simulation result show similar trend to the existing LTE CA requirement.</w:t>
      </w:r>
    </w:p>
    <w:p w:rsidR="00CA0F55" w:rsidRDefault="00CA0F55" w:rsidP="00CA0F55">
      <w:pPr>
        <w:rPr>
          <w:b/>
          <w:lang w:val="en-GB"/>
        </w:rPr>
      </w:pPr>
      <w:r w:rsidRPr="00CA0F55">
        <w:rPr>
          <w:b/>
          <w:u w:val="single"/>
          <w:lang w:val="en-GB"/>
        </w:rPr>
        <w:t>Proposal 1:</w:t>
      </w:r>
      <w:r w:rsidRPr="00CA0F55">
        <w:rPr>
          <w:b/>
          <w:lang w:val="en-GB"/>
        </w:rPr>
        <w:t xml:space="preserve"> Company to re-evaluate MPR results for V2X multiple carrier operation case and revise the existing requirements.</w:t>
      </w:r>
    </w:p>
    <w:p w:rsidR="007A2CAC" w:rsidRPr="00CA0F55" w:rsidRDefault="007A2CAC" w:rsidP="007A2CAC">
      <w:pPr>
        <w:rPr>
          <w:i/>
          <w:u w:val="single"/>
          <w:lang w:val="en-GB"/>
        </w:rPr>
      </w:pPr>
      <w:r>
        <w:rPr>
          <w:b/>
          <w:i/>
          <w:u w:val="single"/>
          <w:lang w:val="en-GB"/>
        </w:rPr>
        <w:t>Observation 3</w:t>
      </w:r>
      <w:r w:rsidRPr="00CA0F55">
        <w:rPr>
          <w:b/>
          <w:i/>
          <w:u w:val="single"/>
          <w:lang w:val="en-GB"/>
        </w:rPr>
        <w:t>:</w:t>
      </w:r>
      <w:r w:rsidRPr="00CA0F55">
        <w:rPr>
          <w:i/>
          <w:u w:val="single"/>
          <w:lang w:val="en-GB"/>
        </w:rPr>
        <w:t xml:space="preserve"> the simulation result show similar </w:t>
      </w:r>
      <w:r>
        <w:rPr>
          <w:i/>
          <w:u w:val="single"/>
          <w:lang w:val="en-GB"/>
        </w:rPr>
        <w:t>result for different modulation order from QPSK, 16QAM to 64QAM.</w:t>
      </w:r>
    </w:p>
    <w:p w:rsidR="007A2CAC" w:rsidRPr="00CA0F55" w:rsidRDefault="007A2CAC" w:rsidP="00CA0F55">
      <w:pPr>
        <w:rPr>
          <w:b/>
          <w:lang w:val="en-GB"/>
        </w:rPr>
      </w:pPr>
    </w:p>
    <w:p w:rsidR="00CA0F55" w:rsidRDefault="00CA0F55" w:rsidP="00CA0F55">
      <w:pPr>
        <w:pStyle w:val="Heading1"/>
      </w:pPr>
      <w:r>
        <w:t>Conclusion</w:t>
      </w:r>
    </w:p>
    <w:p w:rsidR="00CA0F55" w:rsidRPr="00CA0F55" w:rsidRDefault="00CA0F55" w:rsidP="00CA0F55">
      <w:pPr>
        <w:pStyle w:val="ListParagraph"/>
        <w:ind w:left="0"/>
        <w:rPr>
          <w:i/>
          <w:u w:val="single"/>
          <w:lang w:val="en-GB"/>
        </w:rPr>
      </w:pPr>
      <w:r w:rsidRPr="00CA0F55">
        <w:rPr>
          <w:b/>
          <w:i/>
          <w:u w:val="single"/>
          <w:lang w:val="en-GB"/>
        </w:rPr>
        <w:t>Observation 1:</w:t>
      </w:r>
      <w:r w:rsidRPr="00CA0F55">
        <w:rPr>
          <w:i/>
          <w:u w:val="single"/>
          <w:lang w:val="en-GB"/>
        </w:rPr>
        <w:t xml:space="preserve"> There is a big gap between LTE CA MPR requirement and the existing V2X requirement. Simulation for QPSK and 16QAM need to be redo</w:t>
      </w:r>
      <w:r w:rsidR="007A2CAC">
        <w:rPr>
          <w:i/>
          <w:u w:val="single"/>
          <w:lang w:val="en-GB"/>
        </w:rPr>
        <w:t>ne</w:t>
      </w:r>
      <w:r w:rsidRPr="00CA0F55">
        <w:rPr>
          <w:i/>
          <w:u w:val="single"/>
          <w:lang w:val="en-GB"/>
        </w:rPr>
        <w:t xml:space="preserve"> to double check.</w:t>
      </w:r>
    </w:p>
    <w:p w:rsidR="00CA0F55" w:rsidRPr="00CA0F55" w:rsidRDefault="00CA0F55" w:rsidP="00CA0F55">
      <w:pPr>
        <w:rPr>
          <w:i/>
          <w:u w:val="single"/>
          <w:lang w:val="en-GB"/>
        </w:rPr>
      </w:pPr>
      <w:r w:rsidRPr="00CA0F55">
        <w:rPr>
          <w:b/>
          <w:i/>
          <w:u w:val="single"/>
          <w:lang w:val="en-GB"/>
        </w:rPr>
        <w:t>Observation 2:</w:t>
      </w:r>
      <w:r w:rsidRPr="00CA0F55">
        <w:rPr>
          <w:i/>
          <w:u w:val="single"/>
          <w:lang w:val="en-GB"/>
        </w:rPr>
        <w:t xml:space="preserve"> the simulation result show similar trend to the existing LTE CA requirement.</w:t>
      </w:r>
    </w:p>
    <w:p w:rsidR="00CA0F55" w:rsidRDefault="00CA0F55" w:rsidP="00CA0F55">
      <w:pPr>
        <w:rPr>
          <w:b/>
          <w:lang w:val="en-GB"/>
        </w:rPr>
      </w:pPr>
      <w:r w:rsidRPr="00CA0F55">
        <w:rPr>
          <w:b/>
          <w:u w:val="single"/>
          <w:lang w:val="en-GB"/>
        </w:rPr>
        <w:t>Proposal 1:</w:t>
      </w:r>
      <w:r w:rsidRPr="00CA0F55">
        <w:rPr>
          <w:b/>
          <w:lang w:val="en-GB"/>
        </w:rPr>
        <w:t xml:space="preserve"> Company to re-evaluate MPR results for V2X multiple carrier operation case and revise the existing requirements.</w:t>
      </w:r>
    </w:p>
    <w:p w:rsidR="007A2CAC" w:rsidRPr="007A2CAC" w:rsidRDefault="007A2CAC" w:rsidP="00CA0F55">
      <w:pPr>
        <w:rPr>
          <w:i/>
          <w:u w:val="single"/>
          <w:lang w:val="en-GB"/>
        </w:rPr>
      </w:pPr>
      <w:r>
        <w:rPr>
          <w:b/>
          <w:i/>
          <w:u w:val="single"/>
          <w:lang w:val="en-GB"/>
        </w:rPr>
        <w:t>Observation 3</w:t>
      </w:r>
      <w:r w:rsidRPr="00CA0F55">
        <w:rPr>
          <w:b/>
          <w:i/>
          <w:u w:val="single"/>
          <w:lang w:val="en-GB"/>
        </w:rPr>
        <w:t>:</w:t>
      </w:r>
      <w:r w:rsidRPr="00CA0F55">
        <w:rPr>
          <w:i/>
          <w:u w:val="single"/>
          <w:lang w:val="en-GB"/>
        </w:rPr>
        <w:t xml:space="preserve"> the simulation result show similar </w:t>
      </w:r>
      <w:r>
        <w:rPr>
          <w:i/>
          <w:u w:val="single"/>
          <w:lang w:val="en-GB"/>
        </w:rPr>
        <w:t>result for different modulation order from QPSK, 16QAM to 64QAM.</w:t>
      </w:r>
    </w:p>
    <w:p w:rsidR="00CA0F55" w:rsidRPr="00CA0F55" w:rsidRDefault="00CA0F55" w:rsidP="00CA0F55">
      <w:pPr>
        <w:pStyle w:val="Heading1"/>
      </w:pPr>
      <w:r>
        <w:t>Reference</w:t>
      </w:r>
    </w:p>
    <w:p w:rsidR="00BC3380" w:rsidRDefault="00592EA3" w:rsidP="00BC3380">
      <w:r>
        <w:t xml:space="preserve">[1] </w:t>
      </w:r>
      <w:r w:rsidR="00862D03" w:rsidRPr="00862D03">
        <w:t>TS 36.101</w:t>
      </w:r>
      <w:r w:rsidR="00862D03" w:rsidRPr="00862D03">
        <w:tab/>
        <w:t>Evolved Universal Terrestrial Radio Access (E-UTRA); User Equipment (UE) radio transmission and reception</w:t>
      </w:r>
    </w:p>
    <w:p w:rsidR="00486965" w:rsidRDefault="00486965" w:rsidP="00BC3380">
      <w:r>
        <w:t>[2] R4-171</w:t>
      </w:r>
      <w:r w:rsidR="00376038">
        <w:t>2281</w:t>
      </w:r>
      <w:bookmarkStart w:id="0" w:name="_GoBack"/>
      <w:bookmarkEnd w:id="0"/>
      <w:r>
        <w:t xml:space="preserve">   </w:t>
      </w:r>
      <w:r w:rsidRPr="00486965">
        <w:t>Discussion on IBE model for V2X CA and (or) Multiple Carriers Operation</w:t>
      </w:r>
    </w:p>
    <w:p w:rsidR="00612714" w:rsidRPr="00612714" w:rsidRDefault="00612714" w:rsidP="00862D03">
      <w:pPr>
        <w:rPr>
          <w:rFonts w:ascii="Arial" w:hAnsi="Arial" w:cs="Arial"/>
          <w:color w:val="000000"/>
          <w:sz w:val="18"/>
          <w:szCs w:val="18"/>
        </w:rPr>
      </w:pPr>
    </w:p>
    <w:sectPr w:rsidR="00612714" w:rsidRPr="00612714" w:rsidSect="009A189D">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0A5" w:rsidRDefault="00F600A5">
      <w:pPr>
        <w:spacing w:after="0" w:line="240" w:lineRule="auto"/>
      </w:pPr>
      <w:r>
        <w:separator/>
      </w:r>
    </w:p>
  </w:endnote>
  <w:endnote w:type="continuationSeparator" w:id="0">
    <w:p w:rsidR="00F600A5" w:rsidRDefault="00F60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41F52" w:rsidRDefault="00341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F52" w:rsidRDefault="00341F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6038">
      <w:rPr>
        <w:rStyle w:val="PageNumber"/>
      </w:rPr>
      <w:t>6</w:t>
    </w:r>
    <w:r>
      <w:rPr>
        <w:rStyle w:val="PageNumber"/>
      </w:rPr>
      <w:fldChar w:fldCharType="end"/>
    </w:r>
  </w:p>
  <w:p w:rsidR="00341F52" w:rsidRDefault="00341F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0A5" w:rsidRDefault="00F600A5">
      <w:pPr>
        <w:spacing w:after="0" w:line="240" w:lineRule="auto"/>
      </w:pPr>
      <w:r>
        <w:separator/>
      </w:r>
    </w:p>
  </w:footnote>
  <w:footnote w:type="continuationSeparator" w:id="0">
    <w:p w:rsidR="00F600A5" w:rsidRDefault="00F600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5B77CF1"/>
    <w:multiLevelType w:val="hybridMultilevel"/>
    <w:tmpl w:val="F392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1"/>
  </w:num>
  <w:num w:numId="3">
    <w:abstractNumId w:val="11"/>
  </w:num>
  <w:num w:numId="4">
    <w:abstractNumId w:val="29"/>
  </w:num>
  <w:num w:numId="5">
    <w:abstractNumId w:val="15"/>
  </w:num>
  <w:num w:numId="6">
    <w:abstractNumId w:val="4"/>
  </w:num>
  <w:num w:numId="7">
    <w:abstractNumId w:val="8"/>
  </w:num>
  <w:num w:numId="8">
    <w:abstractNumId w:val="5"/>
  </w:num>
  <w:num w:numId="9">
    <w:abstractNumId w:val="16"/>
  </w:num>
  <w:num w:numId="10">
    <w:abstractNumId w:val="3"/>
  </w:num>
  <w:num w:numId="11">
    <w:abstractNumId w:val="22"/>
  </w:num>
  <w:num w:numId="12">
    <w:abstractNumId w:val="9"/>
  </w:num>
  <w:num w:numId="13">
    <w:abstractNumId w:val="24"/>
  </w:num>
  <w:num w:numId="14">
    <w:abstractNumId w:val="34"/>
  </w:num>
  <w:num w:numId="15">
    <w:abstractNumId w:val="14"/>
  </w:num>
  <w:num w:numId="16">
    <w:abstractNumId w:val="12"/>
  </w:num>
  <w:num w:numId="17">
    <w:abstractNumId w:val="19"/>
  </w:num>
  <w:num w:numId="18">
    <w:abstractNumId w:val="10"/>
  </w:num>
  <w:num w:numId="19">
    <w:abstractNumId w:val="13"/>
  </w:num>
  <w:num w:numId="20">
    <w:abstractNumId w:val="17"/>
  </w:num>
  <w:num w:numId="21">
    <w:abstractNumId w:val="1"/>
  </w:num>
  <w:num w:numId="22">
    <w:abstractNumId w:val="6"/>
  </w:num>
  <w:num w:numId="23">
    <w:abstractNumId w:val="23"/>
  </w:num>
  <w:num w:numId="24">
    <w:abstractNumId w:val="25"/>
  </w:num>
  <w:num w:numId="25">
    <w:abstractNumId w:val="33"/>
  </w:num>
  <w:num w:numId="26">
    <w:abstractNumId w:val="0"/>
  </w:num>
  <w:num w:numId="27">
    <w:abstractNumId w:val="7"/>
  </w:num>
  <w:num w:numId="28">
    <w:abstractNumId w:val="21"/>
  </w:num>
  <w:num w:numId="29">
    <w:abstractNumId w:val="35"/>
  </w:num>
  <w:num w:numId="30">
    <w:abstractNumId w:val="30"/>
  </w:num>
  <w:num w:numId="31">
    <w:abstractNumId w:val="27"/>
  </w:num>
  <w:num w:numId="32">
    <w:abstractNumId w:val="28"/>
  </w:num>
  <w:num w:numId="33">
    <w:abstractNumId w:val="18"/>
  </w:num>
  <w:num w:numId="34">
    <w:abstractNumId w:val="26"/>
  </w:num>
  <w:num w:numId="35">
    <w:abstractNumId w:val="3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17ABB"/>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82A"/>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29F1"/>
    <w:rsid w:val="001D32D6"/>
    <w:rsid w:val="001D3A9E"/>
    <w:rsid w:val="001D461E"/>
    <w:rsid w:val="001D4FED"/>
    <w:rsid w:val="001D543D"/>
    <w:rsid w:val="001D588D"/>
    <w:rsid w:val="001D7494"/>
    <w:rsid w:val="001D7676"/>
    <w:rsid w:val="001E072B"/>
    <w:rsid w:val="001E2F5A"/>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209"/>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42C3"/>
    <w:rsid w:val="003244C5"/>
    <w:rsid w:val="0032486C"/>
    <w:rsid w:val="0032518C"/>
    <w:rsid w:val="00327300"/>
    <w:rsid w:val="0032755D"/>
    <w:rsid w:val="00332705"/>
    <w:rsid w:val="00333753"/>
    <w:rsid w:val="00335E04"/>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4EDD"/>
    <w:rsid w:val="00365235"/>
    <w:rsid w:val="003653AC"/>
    <w:rsid w:val="00365A27"/>
    <w:rsid w:val="003666C0"/>
    <w:rsid w:val="0036687B"/>
    <w:rsid w:val="00370EEA"/>
    <w:rsid w:val="00372286"/>
    <w:rsid w:val="00372DFC"/>
    <w:rsid w:val="003730B8"/>
    <w:rsid w:val="003738A9"/>
    <w:rsid w:val="00374A55"/>
    <w:rsid w:val="00376038"/>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6491"/>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65"/>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2F9C"/>
    <w:rsid w:val="005341A0"/>
    <w:rsid w:val="005349FB"/>
    <w:rsid w:val="00542496"/>
    <w:rsid w:val="0054367C"/>
    <w:rsid w:val="00543D41"/>
    <w:rsid w:val="00545A70"/>
    <w:rsid w:val="005518E9"/>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8B"/>
    <w:rsid w:val="00595894"/>
    <w:rsid w:val="00595DBB"/>
    <w:rsid w:val="005A0E25"/>
    <w:rsid w:val="005A2099"/>
    <w:rsid w:val="005A38C4"/>
    <w:rsid w:val="005A42D6"/>
    <w:rsid w:val="005A45E3"/>
    <w:rsid w:val="005A6C28"/>
    <w:rsid w:val="005A7D39"/>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AD3"/>
    <w:rsid w:val="005E2C44"/>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19AC"/>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165"/>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2CAC"/>
    <w:rsid w:val="007A49B7"/>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0DBE"/>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60DE"/>
    <w:rsid w:val="008500F4"/>
    <w:rsid w:val="008522FE"/>
    <w:rsid w:val="00857EE9"/>
    <w:rsid w:val="008607C0"/>
    <w:rsid w:val="00862D03"/>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870"/>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6BF"/>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45"/>
    <w:rsid w:val="00C867C1"/>
    <w:rsid w:val="00C912BB"/>
    <w:rsid w:val="00C95D03"/>
    <w:rsid w:val="00C96F62"/>
    <w:rsid w:val="00C9713A"/>
    <w:rsid w:val="00CA0F55"/>
    <w:rsid w:val="00CA1CE8"/>
    <w:rsid w:val="00CA1FA6"/>
    <w:rsid w:val="00CA1FBF"/>
    <w:rsid w:val="00CA5978"/>
    <w:rsid w:val="00CB2076"/>
    <w:rsid w:val="00CB3515"/>
    <w:rsid w:val="00CB6096"/>
    <w:rsid w:val="00CB6847"/>
    <w:rsid w:val="00CB6AD5"/>
    <w:rsid w:val="00CB6F5F"/>
    <w:rsid w:val="00CB752C"/>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701A2"/>
    <w:rsid w:val="00D717A8"/>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236E"/>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B0C"/>
    <w:rsid w:val="00EB4FAB"/>
    <w:rsid w:val="00EB7592"/>
    <w:rsid w:val="00EC1B70"/>
    <w:rsid w:val="00EC3454"/>
    <w:rsid w:val="00EC39E2"/>
    <w:rsid w:val="00EC4292"/>
    <w:rsid w:val="00EC5989"/>
    <w:rsid w:val="00EC5CC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00A5"/>
    <w:rsid w:val="00F6138D"/>
    <w:rsid w:val="00F62B08"/>
    <w:rsid w:val="00F63AE7"/>
    <w:rsid w:val="00F72D97"/>
    <w:rsid w:val="00F748ED"/>
    <w:rsid w:val="00F74CC7"/>
    <w:rsid w:val="00F754C7"/>
    <w:rsid w:val="00F77E82"/>
    <w:rsid w:val="00F821BA"/>
    <w:rsid w:val="00F82FF7"/>
    <w:rsid w:val="00F85204"/>
    <w:rsid w:val="00F86232"/>
    <w:rsid w:val="00F87B54"/>
    <w:rsid w:val="00F90267"/>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24674"/>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2CAC"/>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character" w:customStyle="1" w:styleId="EQChar">
    <w:name w:val="EQ Char"/>
    <w:link w:val="EQ"/>
    <w:locked/>
    <w:rsid w:val="00DE236E"/>
    <w:rPr>
      <w:rFonts w:ascii="Times New Roman" w:eastAsia="Times New Roman" w:hAnsi="Times New Roman" w:cs="Times New Roman"/>
      <w:noProof/>
      <w:lang w:val="en-GB" w:eastAsia="x-none"/>
    </w:rPr>
  </w:style>
  <w:style w:type="paragraph" w:customStyle="1" w:styleId="EQ">
    <w:name w:val="EQ"/>
    <w:basedOn w:val="Normal"/>
    <w:next w:val="Normal"/>
    <w:link w:val="EQChar"/>
    <w:rsid w:val="00DE236E"/>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7576">
      <w:bodyDiv w:val="1"/>
      <w:marLeft w:val="0"/>
      <w:marRight w:val="0"/>
      <w:marTop w:val="0"/>
      <w:marBottom w:val="0"/>
      <w:divBdr>
        <w:top w:val="none" w:sz="0" w:space="0" w:color="auto"/>
        <w:left w:val="none" w:sz="0" w:space="0" w:color="auto"/>
        <w:bottom w:val="none" w:sz="0" w:space="0" w:color="auto"/>
        <w:right w:val="none" w:sz="0" w:space="0" w:color="auto"/>
      </w:divBdr>
    </w:div>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507645643">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1905603283">
      <w:bodyDiv w:val="1"/>
      <w:marLeft w:val="0"/>
      <w:marRight w:val="0"/>
      <w:marTop w:val="0"/>
      <w:marBottom w:val="0"/>
      <w:divBdr>
        <w:top w:val="none" w:sz="0" w:space="0" w:color="auto"/>
        <w:left w:val="none" w:sz="0" w:space="0" w:color="auto"/>
        <w:bottom w:val="none" w:sz="0" w:space="0" w:color="auto"/>
        <w:right w:val="none" w:sz="0" w:space="0" w:color="auto"/>
      </w:divBdr>
    </w:div>
    <w:div w:id="2009477777">
      <w:bodyDiv w:val="1"/>
      <w:marLeft w:val="0"/>
      <w:marRight w:val="0"/>
      <w:marTop w:val="0"/>
      <w:marBottom w:val="0"/>
      <w:divBdr>
        <w:top w:val="none" w:sz="0" w:space="0" w:color="auto"/>
        <w:left w:val="none" w:sz="0" w:space="0" w:color="auto"/>
        <w:bottom w:val="none" w:sz="0" w:space="0" w:color="auto"/>
        <w:right w:val="none" w:sz="0" w:space="0" w:color="auto"/>
      </w:divBdr>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5</cp:revision>
  <dcterms:created xsi:type="dcterms:W3CDTF">2017-11-15T16:03:00Z</dcterms:created>
  <dcterms:modified xsi:type="dcterms:W3CDTF">2017-11-17T20:36:00Z</dcterms:modified>
</cp:coreProperties>
</file>